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Parere sul documento delle linee programmatiche di mandato del 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 approvazione delle linee programmatiche di mandato che il Sindaco deposita presso la Segreteria Generale entro trenta giorni dalla sua elezione per l'esame e la presa d'atto del Consiglio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FE48ED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4005F5" w:rsidRDefault="0067307D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FE48ED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005F5" w:rsidRDefault="0067307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Termine previsto dallo Statuto Comunale dall'insediamento del Sindaco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FE48ED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005F5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7307D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  <w:rsid w:val="00FE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286A9E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2026-06-06T19:43:00Z</dcterms:modified>
</cp:coreProperties>
</file>